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1E" w:rsidRDefault="0000121E" w:rsidP="0000121E">
      <w:pPr>
        <w:pStyle w:val="afc"/>
        <w:spacing w:before="0" w:beforeAutospacing="0" w:after="0" w:afterAutospacing="0"/>
        <w:jc w:val="center"/>
        <w:textAlignment w:val="baseline"/>
        <w:rPr>
          <w:rFonts w:ascii="inherit" w:hAnsi="inherit"/>
          <w:color w:val="292929"/>
          <w:sz w:val="27"/>
          <w:szCs w:val="27"/>
        </w:rPr>
      </w:pPr>
      <w:r>
        <w:rPr>
          <w:rStyle w:val="afd"/>
          <w:color w:val="292929"/>
          <w:sz w:val="28"/>
          <w:szCs w:val="28"/>
          <w:bdr w:val="none" w:sz="0" w:space="0" w:color="auto" w:frame="1"/>
        </w:rPr>
        <w:t>ОБЪЯВЛЕНИЕ</w:t>
      </w:r>
      <w:r>
        <w:rPr>
          <w:rFonts w:ascii="inherit" w:hAnsi="inherit"/>
          <w:color w:val="292929"/>
          <w:sz w:val="27"/>
          <w:szCs w:val="27"/>
        </w:rPr>
        <w:t> </w:t>
      </w:r>
    </w:p>
    <w:p w:rsidR="0000121E" w:rsidRDefault="0000121E" w:rsidP="0000121E">
      <w:pPr>
        <w:pStyle w:val="afc"/>
        <w:spacing w:before="0" w:beforeAutospacing="0" w:after="0" w:afterAutospacing="0"/>
        <w:textAlignment w:val="baseline"/>
        <w:rPr>
          <w:rFonts w:ascii="inherit" w:hAnsi="inherit"/>
          <w:color w:val="292929"/>
          <w:sz w:val="27"/>
          <w:szCs w:val="27"/>
        </w:rPr>
      </w:pPr>
      <w:r>
        <w:rPr>
          <w:rStyle w:val="afd"/>
          <w:color w:val="292929"/>
          <w:sz w:val="28"/>
          <w:szCs w:val="28"/>
          <w:bdr w:val="none" w:sz="0" w:space="0" w:color="auto" w:frame="1"/>
        </w:rPr>
        <w:t>о проведении отбора на получение субсидии на проведение сезонных полевых работ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5"/>
        <w:gridCol w:w="5489"/>
      </w:tblGrid>
      <w:tr w:rsidR="0000121E" w:rsidTr="004668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rStyle w:val="afd"/>
                <w:color w:val="292929"/>
                <w:sz w:val="28"/>
                <w:szCs w:val="28"/>
                <w:bdr w:val="none" w:sz="0" w:space="0" w:color="auto" w:frame="1"/>
              </w:rPr>
              <w:t>Общая информация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Наименование отбора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Отбор для предоставления  субсидии на проведение сезонных полевых работ.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Нормативный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правовой акт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Правила предоставления субсидии на возмещение части затрат на проведение сезонных полевых работ, утвержденные Постановлением Правительства Кемеровской области - Кузбасса от 28.05.2019 № 338 (далее - Правила).</w:t>
            </w:r>
          </w:p>
        </w:tc>
      </w:tr>
      <w:tr w:rsidR="0000121E" w:rsidTr="004668FE">
        <w:trPr>
          <w:trHeight w:val="198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Критерии отбора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Претендент является сельскохозяйственным товаропроизводителем в соответствии со </w:t>
            </w:r>
            <w:hyperlink r:id="rId8" w:history="1">
              <w:r>
                <w:rPr>
                  <w:rStyle w:val="af7"/>
                  <w:color w:val="000000"/>
                  <w:sz w:val="28"/>
                  <w:szCs w:val="28"/>
                  <w:bdr w:val="none" w:sz="0" w:space="0" w:color="auto" w:frame="1"/>
                </w:rPr>
                <w:t>статьей 3</w:t>
              </w:r>
            </w:hyperlink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 Федерального закона от 29.12.2006 № 264-ФЗ «О развитии сельского хозяйства» (за исключением граждан, ведущих личное подсобное хозяйство, сельскохозяйственных потребительских кооперативов и субъектов малого предпринимательства);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наличие посевной площади, занятой 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в отчетном финансовом году, по данным Федеральной службы государственной статистики;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наличие затрат на проведение комплекса работ, отвечающих целям, указанным в пункте </w:t>
            </w:r>
            <w:hyperlink r:id="rId9" w:anchor="P59" w:history="1">
              <w:r>
                <w:rPr>
                  <w:rStyle w:val="af7"/>
                  <w:color w:val="000000"/>
                  <w:sz w:val="28"/>
                  <w:szCs w:val="28"/>
                  <w:bdr w:val="none" w:sz="0" w:space="0" w:color="auto" w:frame="1"/>
                </w:rPr>
                <w:t>1.3</w:t>
              </w:r>
            </w:hyperlink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 настоящих Правил, в формах № 9-АПК или № 1-КФХ отчетности о финансово-экономическом состоянии товаропроизводителей агропромышленного комплекса за отчетный финансовый год;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 xml:space="preserve">на посев при проведении комплекса 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в 10-м регионе сети государственного </w:t>
            </w: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сортоиспытания, а также при условии, что сортовые и посевные качества таких семян соответствуют ГОСТ Р 52325-2005, ГОСТ Р 58472-2019, для овощных культур ГОСТ Р 32592-2013, ГОСТ Р 30106-94, для картофеля ГОСТ 33996-2016</w:t>
            </w:r>
          </w:p>
        </w:tc>
      </w:tr>
      <w:tr w:rsidR="0000121E" w:rsidTr="004668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rStyle w:val="afd"/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Контактная информация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Организатор отбора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Министерство сельского хозяйства и перерабатывающей промышленности Кузбасса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Контактные телефоны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8 - (3842) 36-73-42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Контактное лицо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Вахонин Дмитрий Георгиевич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Местонахождение и почтовый адрес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650000, город Кемерово, проспект Кузнецкий, 22А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dvahonin@mail.ru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Официальный сайт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http://mcx42.ru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Доменное имя, и (или) сетевой адрес, и (или) указатели страниц официального сайта Министерства в информационно-телекоммуникационной сети «Интернет», на которых обеспечивается проведение отбора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Министерство сельского хозяйства и перерабатывающей промышленности Кузбасса/ Деятельность/ Программы и проекты.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(http://mcx42.ru/uchastie_v_tselevykh_i_inykh_programmakh)</w:t>
            </w:r>
          </w:p>
        </w:tc>
      </w:tr>
      <w:tr w:rsidR="0000121E" w:rsidTr="004668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rStyle w:val="afd"/>
                <w:color w:val="292929"/>
                <w:sz w:val="28"/>
                <w:szCs w:val="28"/>
                <w:bdr w:val="none" w:sz="0" w:space="0" w:color="auto" w:frame="1"/>
              </w:rPr>
              <w:t>Информация о проведении отбора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Срок проведения отбора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С 25 января 2022 года по 23 февраля 2022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Начало приема заявок на участие в отборе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25 января 2022 года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Окончание приема заявок на участие в отборе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23 февраля 2022 года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Место и время приема заявок на участие в отборе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Министерство сельского хозяйства и перерабатывающей промышленности Кузбасса,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650000, город Кемерово, проспект Кузнецкий, 22А, кабинет № 36 (4-й этаж), с понедельника по пятницу с 8.30 до 17.30, обеденный перерыв с 12.00 до 13.00 (кроме выходных и праздничных дней).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Цель предоставления субсидии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 xml:space="preserve">Субсидии предоставляются в целях реализации мероприятия «Возмещение части затрат на проведение сезонных полевых работ»  подпрограммы  «Развитие подотрасли растениеводства, переработки и реализации продукции растениеводства» государственной программы Кемеровской области – Кузбасса «Государственная </w:t>
            </w: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поддержка агропромышленного комплекса и устойчивого развития сельских территорий Кузбасса» на 2014-2024 годы, утвержденной постановлением Коллегии Администрации Кемеровской области от 25.10.2013 № 464 (далее – Государственная программа), на возмещение части затрат (без учета налога на добавленную стоимость) на проведение сезонных полевых работ,  связанных с производством сельскохозяйственной продукции, в расчете на   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овощами открытого грунта.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Результат предоставления субсидии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567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Результатом предоставления субсидии является достижение показателей «Валовой сбор картофеля в сельскохозяйственных организациях, крестьянских (фермерских) хозяйствах, включая индивидуальных предпринимателей» (тыс. тонн);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567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«Валовой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предпринимателей» (тыс. тонн);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567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«Размер посевных площадей, занятых зерновыми, зернобобовыми, масличными и кормовыми сельскохозяйственными культурами» (тыс. га), значение которых установлено Государственной программой.</w:t>
            </w:r>
          </w:p>
        </w:tc>
      </w:tr>
      <w:tr w:rsidR="0000121E" w:rsidTr="004668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rStyle w:val="afd"/>
                <w:color w:val="292929"/>
                <w:sz w:val="28"/>
                <w:szCs w:val="28"/>
                <w:bdr w:val="none" w:sz="0" w:space="0" w:color="auto" w:frame="1"/>
              </w:rPr>
              <w:t>Требования к претендентам и перечень документов, представляемых претендентами для подтверждения их соответствия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rStyle w:val="afd"/>
                <w:color w:val="292929"/>
                <w:sz w:val="28"/>
                <w:szCs w:val="28"/>
                <w:bdr w:val="none" w:sz="0" w:space="0" w:color="auto" w:frame="1"/>
              </w:rPr>
              <w:t>указанным требованиям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Требования к претендентам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На дату подачи заявления претенденты должны соответствовать следующим требованиям: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8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должна отсутствовать 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8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 xml:space="preserve">должна отсутствовать просроченная задолженность по возврату в областной </w:t>
            </w: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бюджет субсидий, бюджетных инвестиций, предоставленных 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- Кузбассом;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8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претенденты - 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8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в реестре дисквалифицированных лиц отсутствуют сведения о дисквалифицированных 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8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 xml:space="preserve">претенденты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 зоны) в отношении таких юридических лиц, в совокупности </w:t>
            </w: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превышает 50 процентов;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8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претенденты не должны привлекаться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 в году, предшествующем году получения субсидии;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8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претендент не должен получать средства областного и местного бюджетов в соответствии с иными нормативными правовыми актами на цели, указанные в пункте 1.3  настоящих Правил;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Перечень документов, представляемых претендентами для подтверждения их соответствия указанным требованиям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567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Претендент вправе по собственной инициативе представить в Министерство: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567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справка), 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567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информацию об отсутствии в Едином федеральном реестре сведений о банкротстве в отношении заявителя (распечатывается с официального сайта http://bankrot.fedresurs.ru);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567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      </w:r>
          </w:p>
        </w:tc>
      </w:tr>
      <w:tr w:rsidR="0000121E" w:rsidTr="004668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rStyle w:val="afd"/>
                <w:color w:val="292929"/>
                <w:sz w:val="28"/>
                <w:szCs w:val="28"/>
                <w:bdr w:val="none" w:sz="0" w:space="0" w:color="auto" w:frame="1"/>
              </w:rPr>
              <w:t xml:space="preserve">Порядок подачи заявлений и документов претендентами и требований, предъявляемых к форме и содержанию заявлений и </w:t>
            </w:r>
            <w:r>
              <w:rPr>
                <w:rStyle w:val="afd"/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документов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425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Порядок подачи заявлений и документов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Претендент в срок, указанный в объявлении, представляет в Министерство заявление по форме согласно приложению № 1 к настоящим  Правилам, которое включает в том числе согласие на публикацию (размещение) в информационно-телекоммуникационной сети «Интернет» 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 данных (для физического лица) и следующие документы: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а) информацию по формам федерального государственного статистического наблюдения № </w:t>
            </w:r>
            <w:hyperlink r:id="rId10" w:history="1">
              <w:r>
                <w:rPr>
                  <w:rStyle w:val="af7"/>
                  <w:color w:val="000000"/>
                  <w:sz w:val="28"/>
                  <w:szCs w:val="28"/>
                  <w:bdr w:val="none" w:sz="0" w:space="0" w:color="auto" w:frame="1"/>
                </w:rPr>
                <w:t>29-сх</w:t>
              </w:r>
            </w:hyperlink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 «Сведения о сборе урожая сельскохозяйственных культур» или № </w:t>
            </w:r>
            <w:hyperlink r:id="rId11" w:history="1">
              <w:r>
                <w:rPr>
                  <w:rStyle w:val="af7"/>
                  <w:color w:val="000000"/>
                  <w:sz w:val="28"/>
                  <w:szCs w:val="28"/>
                  <w:bdr w:val="none" w:sz="0" w:space="0" w:color="auto" w:frame="1"/>
                </w:rPr>
                <w:t>2-фермер</w:t>
              </w:r>
            </w:hyperlink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 «Сведения о сборе урожая сельскохозяйственных культур» за отчетный финансовый год, заверенную органами государственного статистического учета или печатью претендента (при ее наличии) и подписью руководителя претендента, а также печатью управления (отдела) сельского хозяйства органа местного самоуправления (при ее наличии) и подписью начальника управления (отдела) сельского хозяйства органа местного самоуправления;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б) информацию по формам федерального государственного статистического наблюдения №</w:t>
            </w:r>
            <w:hyperlink r:id="rId12" w:history="1">
              <w:r>
                <w:rPr>
                  <w:rStyle w:val="af7"/>
                  <w:sz w:val="28"/>
                  <w:szCs w:val="28"/>
                  <w:bdr w:val="none" w:sz="0" w:space="0" w:color="auto" w:frame="1"/>
                </w:rPr>
                <w:t> </w:t>
              </w:r>
              <w:r>
                <w:rPr>
                  <w:rStyle w:val="af7"/>
                  <w:color w:val="000000"/>
                  <w:sz w:val="28"/>
                  <w:szCs w:val="28"/>
                  <w:bdr w:val="none" w:sz="0" w:space="0" w:color="auto" w:frame="1"/>
                </w:rPr>
                <w:t>П-1 (СХ)</w:t>
              </w:r>
            </w:hyperlink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 «Сведения о производстве и отгрузке сельскохозяйственной продукции» или №</w:t>
            </w:r>
            <w:hyperlink r:id="rId13" w:history="1">
              <w:r>
                <w:rPr>
                  <w:rStyle w:val="af7"/>
                  <w:sz w:val="28"/>
                  <w:szCs w:val="28"/>
                  <w:bdr w:val="none" w:sz="0" w:space="0" w:color="auto" w:frame="1"/>
                </w:rPr>
                <w:t> </w:t>
              </w:r>
              <w:r>
                <w:rPr>
                  <w:rStyle w:val="af7"/>
                  <w:color w:val="000000"/>
                  <w:sz w:val="28"/>
                  <w:szCs w:val="28"/>
                  <w:bdr w:val="none" w:sz="0" w:space="0" w:color="auto" w:frame="1"/>
                </w:rPr>
                <w:t>3-фермер</w:t>
              </w:r>
            </w:hyperlink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 xml:space="preserve"> «Сведения о производстве продукции животноводства и поголовья скота» за отчетный месяц, предшествующий месяцу его обращения за получением субсидии, заверенную органами государственного статистического учета или печатью претендента (при ее наличии) и подписью руководителя претендента, а также печатью управления (отдела) сельского хозяйства органа местного самоуправления </w:t>
            </w: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(при ее наличии) и подписью начальника управления (отдела) сельского хозяйства органа местного самоуправления, подтверждающую наличие поголовья сельскохозяйственных животных у претендентов, занимающихся производством животноводческой продукции, при заполнении в справке-расчете, указанной в подпункте «в» настоящего пункта, строк: «5. Кормовые однолетние культуры», «6. Кормовые многолетние культуры»;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в) справку-расчет о субсидии на  проведение сезонных полевых работ по форме согласно приложению № 2 к настоящим Правилам;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г) информацию по формам № 9-АПК или № 1-КФХ, отражающим затраты на проведение комплекса работ за отчетный финансовый год;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д) копию типовой межотраслевой </w:t>
            </w:r>
            <w:hyperlink r:id="rId14" w:history="1">
              <w:r>
                <w:rPr>
                  <w:rStyle w:val="af7"/>
                  <w:color w:val="000000"/>
                  <w:sz w:val="28"/>
                  <w:szCs w:val="28"/>
                  <w:bdr w:val="none" w:sz="0" w:space="0" w:color="auto" w:frame="1"/>
                </w:rPr>
                <w:t>формы № СП-13</w:t>
              </w:r>
            </w:hyperlink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 «Акт расхода семян и посадочного материала» на высеянные семена сельскохозяйственных культур под урожай предыдущего года, заверенную руководителем претендента;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е) копии акта апробации или акта регистрации и протокола испытаний на высеянные семена сельскохозяйственных культур под урожай предыдущего года, заверенные органом по сертификации семян, зарегистрированным в едином реестре зарегистрированных систем добровольной сертификации;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ж) копию сертификата на высеянные семена сельскохозяйственных культур под урожай предыдущего года, выданного органом по сертификации семян, зарегистрированным в едином реестре зарегистрированных систем добровольной сертификации, заверенную претендентом;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з) </w:t>
            </w:r>
            <w:hyperlink r:id="rId15" w:anchor="P423" w:history="1">
              <w:r>
                <w:rPr>
                  <w:rStyle w:val="af7"/>
                  <w:color w:val="000000"/>
                  <w:sz w:val="28"/>
                  <w:szCs w:val="28"/>
                  <w:bdr w:val="none" w:sz="0" w:space="0" w:color="auto" w:frame="1"/>
                </w:rPr>
                <w:t>отчет</w:t>
              </w:r>
            </w:hyperlink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 xml:space="preserve"> о фактически произведенных затратах на проведение  сезонных полевых работ, на возмещение которых предоставляется субсидия, по форме согласно приложению № 3 к настоящим Правилам, содержащий сведения о </w:t>
            </w: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следующих документах: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договоры купли-продажи (поставки) (при наличии);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счета-фактуры;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товарные накладные;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платежные документы на оплату по договорам купли-продажи (поставки) и (или) приходные кассовые ордера при осуществлении наличных расчетов и (или) иные документы, подтверждающие оплату товарно-материальных ценностей;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при приобретении продукции на условиях товарообменных операций - договоры поставки товаров, накладные, акты взаиморасчетов;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709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и) копии договора страхования урожая сельскохозяйственных культур и платежных документов об оплате страховой премии (в случае заключения договора страхования).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567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Для подтверждения отсутствия у претендента неисполненной обязанности по уплате налогов, сборов, страховых взносов, пеней, штрафов, процентов, подлежащих уплате,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 и выписку из Единого государственного реестра юридических лиц (Единого государственного реестра индивидуальных предпринимателей).</w:t>
            </w:r>
          </w:p>
          <w:p w:rsidR="0000121E" w:rsidRDefault="0000121E" w:rsidP="0000121E">
            <w:pPr>
              <w:pStyle w:val="afc"/>
              <w:spacing w:before="0" w:beforeAutospacing="0" w:after="0" w:afterAutospacing="0" w:line="300" w:lineRule="atLeast"/>
              <w:ind w:firstLine="567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Копии документов, представленных в Министерство, заверяются подписью и печатью претендента (при наличии печати)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>
            <w:pPr>
              <w:pStyle w:val="afc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 xml:space="preserve">Порядок отзыва заявлений и </w:t>
            </w: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документов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425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 xml:space="preserve">Претендент вправе в любой момент  </w:t>
            </w: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отозвать заявление и документы, направив письменный запрос в Министерство.</w:t>
            </w:r>
            <w:r>
              <w:rPr>
                <w:rFonts w:ascii="inherit" w:hAnsi="inherit"/>
                <w:color w:val="292929"/>
                <w:sz w:val="27"/>
                <w:szCs w:val="27"/>
              </w:rPr>
              <w:t> </w:t>
            </w:r>
          </w:p>
        </w:tc>
      </w:tr>
      <w:tr w:rsidR="0000121E" w:rsidTr="004668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>
            <w:pPr>
              <w:pStyle w:val="afc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rStyle w:val="afd"/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Правила рассмотрения и оценки заявлений и документов в соответствии с пунктами 2.5 - 2.8 настоящих Правил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>
            <w:pPr>
              <w:pStyle w:val="afc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Правила рассмотрения и оценки заявлений и документов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Министерство в день приема документов регистрирует заявления претендентов в порядке их поступления в книге регистрации, которая нумеруется, прошнуровывается и скрепляется печатью Министерства, и в срок не более 10 рабочих дней со дня окончания приема документов осуществляет проверку представленных документов на соответствие пункту 2.4 настоящих Правил, а также соответствия претендента положениям пунктов 1.6 и 2.3 настоящих Правил.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Министерство в течение 5 рабочих дней после осуществления проверки принимает решение о признании претендентов победителями отбора путем утверждения сводного реестра получателей субсидии или об отклонении заявления претендента по основаниям: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а) недостоверность представленной претендентом информации, в том числе информации о месте нахождения и адресе;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б) несоответствие претендента условиям и требованиям, установленным пунктами 1.6 и 2.3 настоящих Правил;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в) несоответствие представленных претендентом заявления и документов, установленных в пункте 2.4 настоящих Правил, требованиям к заявлению и документам претендентов, установленным в объявлении, или непредставление (представление не в полном объеме) указанных документов;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г) подача претендентом заявления и документов позже даты и (или) времени, указанных в объявлении, о проведении отбора;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 xml:space="preserve">д) наличие в заявлении и документах, представленных в Министерство, исправлений, подчисток, приписок, зачеркнутых слов и иных не оговоренных в них исправлений, а также повреждений, не </w:t>
            </w: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позволяющих однозначно истолковывать содержание документов;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е) 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Министерства;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ж) недостаточность лимитов бюджетных обязательств на текущий финансовый год.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В случае отклонения заявления Министерство оформляет решение об отклонении и в течение 2 рабочих дней со дня принятия указанного решения направляет его претенденту по почте заказным письмом с уведомлением либо телефонограммой, факсимильной связью, по электронной почте или с использованием иных средств связи и доставки, обеспечивающих фиксирование его вручения адресату.</w:t>
            </w:r>
            <w:r>
              <w:rPr>
                <w:rFonts w:ascii="inherit" w:hAnsi="inherit"/>
                <w:color w:val="292929"/>
                <w:sz w:val="27"/>
                <w:szCs w:val="27"/>
              </w:rPr>
              <w:t> 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>
            <w:pPr>
              <w:pStyle w:val="afc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lastRenderedPageBreak/>
              <w:t>Срок, в течение которого претендент, прошедший отбор, должен подписать соглашение о предоставлении субсидии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Претенденты, заявления которых не были отклонены, признаются победителями отбора.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Министерство в течение 1 рабочего дня с даты принятия решения о признании претендентов победителями отбора размещает решение на официальном сайте Министерства.</w:t>
            </w:r>
          </w:p>
          <w:p w:rsidR="0000121E" w:rsidRDefault="0000121E">
            <w:pPr>
              <w:pStyle w:val="afc"/>
              <w:spacing w:before="0" w:beforeAutospacing="0" w:after="0" w:afterAutospacing="0" w:line="300" w:lineRule="atLeast"/>
              <w:ind w:firstLine="709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Победитель отбора в срок не позднее 5 рабочих дней с даты принятия решения заключает с Министерством соглашение, в случае отказа признается уклонившимся от подписания соглашения, а решение подлежит признанию утратившим силу.</w:t>
            </w:r>
            <w:r>
              <w:rPr>
                <w:rFonts w:ascii="inherit" w:hAnsi="inherit"/>
                <w:color w:val="292929"/>
                <w:sz w:val="27"/>
                <w:szCs w:val="27"/>
              </w:rPr>
              <w:t> </w:t>
            </w:r>
          </w:p>
        </w:tc>
      </w:tr>
      <w:tr w:rsidR="0000121E" w:rsidTr="004668FE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>
            <w:pPr>
              <w:pStyle w:val="afc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Дата размещения результатов отбора на официальном на Едином портале и на официальном сайте Министерства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21E" w:rsidRDefault="0000121E">
            <w:pPr>
              <w:pStyle w:val="afc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/>
                <w:color w:val="292929"/>
                <w:sz w:val="27"/>
                <w:szCs w:val="27"/>
              </w:rPr>
            </w:pPr>
            <w:r>
              <w:rPr>
                <w:color w:val="292929"/>
                <w:sz w:val="28"/>
                <w:szCs w:val="28"/>
                <w:bdr w:val="none" w:sz="0" w:space="0" w:color="auto" w:frame="1"/>
              </w:rPr>
              <w:t>        Не позднее 21 марта 2022 года</w:t>
            </w:r>
          </w:p>
        </w:tc>
      </w:tr>
    </w:tbl>
    <w:p w:rsidR="0000121E" w:rsidRDefault="0000121E" w:rsidP="004668FE">
      <w:pPr>
        <w:pStyle w:val="afc"/>
        <w:spacing w:before="0" w:beforeAutospacing="0" w:after="0" w:afterAutospacing="0"/>
        <w:jc w:val="center"/>
        <w:textAlignment w:val="baseline"/>
        <w:rPr>
          <w:rFonts w:ascii="inherit" w:hAnsi="inherit"/>
          <w:color w:val="292929"/>
          <w:sz w:val="27"/>
          <w:szCs w:val="27"/>
        </w:rPr>
      </w:pPr>
      <w:r>
        <w:rPr>
          <w:rFonts w:ascii="Segoe UI" w:hAnsi="Segoe UI" w:cs="Segoe UI"/>
          <w:color w:val="292929"/>
          <w:sz w:val="27"/>
          <w:szCs w:val="27"/>
          <w:bdr w:val="none" w:sz="0" w:space="0" w:color="auto" w:frame="1"/>
        </w:rPr>
        <w:t> </w:t>
      </w:r>
    </w:p>
    <w:sectPr w:rsidR="0000121E" w:rsidSect="004668FE">
      <w:headerReference w:type="default" r:id="rId16"/>
      <w:pgSz w:w="11907" w:h="16840"/>
      <w:pgMar w:top="851" w:right="851" w:bottom="257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CB" w:rsidRDefault="009C62CB">
      <w:r>
        <w:separator/>
      </w:r>
    </w:p>
  </w:endnote>
  <w:endnote w:type="continuationSeparator" w:id="1">
    <w:p w:rsidR="009C62CB" w:rsidRDefault="009C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CB" w:rsidRDefault="009C62CB">
      <w:r>
        <w:separator/>
      </w:r>
    </w:p>
  </w:footnote>
  <w:footnote w:type="continuationSeparator" w:id="1">
    <w:p w:rsidR="009C62CB" w:rsidRDefault="009C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CC" w:rsidRDefault="00D73FA7">
    <w:pPr>
      <w:pStyle w:val="24"/>
      <w:jc w:val="center"/>
    </w:pPr>
    <w:r>
      <w:fldChar w:fldCharType="begin"/>
    </w:r>
    <w:r w:rsidR="005C1238">
      <w:instrText>PAGE \* MERGEFORMAT</w:instrText>
    </w:r>
    <w:r>
      <w:fldChar w:fldCharType="separate"/>
    </w:r>
    <w:r w:rsidR="00EB12FF">
      <w:rPr>
        <w:noProof/>
      </w:rPr>
      <w:t>10</w:t>
    </w:r>
    <w:r>
      <w:fldChar w:fldCharType="end"/>
    </w:r>
  </w:p>
  <w:p w:rsidR="000117CC" w:rsidRDefault="000117CC">
    <w:pPr>
      <w:pStyle w:val="2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0D45"/>
    <w:multiLevelType w:val="hybridMultilevel"/>
    <w:tmpl w:val="5ACE0BEE"/>
    <w:lvl w:ilvl="0" w:tplc="F978FE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99EA1648">
      <w:start w:val="1"/>
      <w:numFmt w:val="lowerLetter"/>
      <w:lvlText w:val="%2."/>
      <w:lvlJc w:val="left"/>
      <w:pPr>
        <w:ind w:left="1931" w:hanging="360"/>
      </w:pPr>
    </w:lvl>
    <w:lvl w:ilvl="2" w:tplc="4B5687BC">
      <w:start w:val="1"/>
      <w:numFmt w:val="lowerRoman"/>
      <w:lvlText w:val="%3."/>
      <w:lvlJc w:val="right"/>
      <w:pPr>
        <w:ind w:left="2651" w:hanging="180"/>
      </w:pPr>
    </w:lvl>
    <w:lvl w:ilvl="3" w:tplc="BA420BAE">
      <w:start w:val="1"/>
      <w:numFmt w:val="decimal"/>
      <w:lvlText w:val="%4."/>
      <w:lvlJc w:val="left"/>
      <w:pPr>
        <w:ind w:left="3371" w:hanging="360"/>
      </w:pPr>
    </w:lvl>
    <w:lvl w:ilvl="4" w:tplc="94AAB82C">
      <w:start w:val="1"/>
      <w:numFmt w:val="lowerLetter"/>
      <w:lvlText w:val="%5."/>
      <w:lvlJc w:val="left"/>
      <w:pPr>
        <w:ind w:left="4091" w:hanging="360"/>
      </w:pPr>
    </w:lvl>
    <w:lvl w:ilvl="5" w:tplc="1CE85366">
      <w:start w:val="1"/>
      <w:numFmt w:val="lowerRoman"/>
      <w:lvlText w:val="%6."/>
      <w:lvlJc w:val="right"/>
      <w:pPr>
        <w:ind w:left="4811" w:hanging="180"/>
      </w:pPr>
    </w:lvl>
    <w:lvl w:ilvl="6" w:tplc="0AD61CB4">
      <w:start w:val="1"/>
      <w:numFmt w:val="decimal"/>
      <w:lvlText w:val="%7."/>
      <w:lvlJc w:val="left"/>
      <w:pPr>
        <w:ind w:left="5531" w:hanging="360"/>
      </w:pPr>
    </w:lvl>
    <w:lvl w:ilvl="7" w:tplc="90942244">
      <w:start w:val="1"/>
      <w:numFmt w:val="lowerLetter"/>
      <w:lvlText w:val="%8."/>
      <w:lvlJc w:val="left"/>
      <w:pPr>
        <w:ind w:left="6251" w:hanging="360"/>
      </w:pPr>
    </w:lvl>
    <w:lvl w:ilvl="8" w:tplc="03423712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7CC"/>
    <w:rsid w:val="0000121E"/>
    <w:rsid w:val="000117CC"/>
    <w:rsid w:val="00076263"/>
    <w:rsid w:val="001C3590"/>
    <w:rsid w:val="004668FE"/>
    <w:rsid w:val="004F0406"/>
    <w:rsid w:val="005C1238"/>
    <w:rsid w:val="00676E13"/>
    <w:rsid w:val="00770793"/>
    <w:rsid w:val="0083078F"/>
    <w:rsid w:val="0083405F"/>
    <w:rsid w:val="009C62CB"/>
    <w:rsid w:val="00A86AA0"/>
    <w:rsid w:val="00BE7EA5"/>
    <w:rsid w:val="00CA65C2"/>
    <w:rsid w:val="00CE7367"/>
    <w:rsid w:val="00D01977"/>
    <w:rsid w:val="00D73FA7"/>
    <w:rsid w:val="00E47868"/>
    <w:rsid w:val="00EB12FF"/>
    <w:rsid w:val="00F0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CC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0117CC"/>
  </w:style>
  <w:style w:type="paragraph" w:customStyle="1" w:styleId="11">
    <w:name w:val="Заголовок 11"/>
    <w:basedOn w:val="a"/>
    <w:next w:val="a"/>
    <w:link w:val="1"/>
    <w:uiPriority w:val="9"/>
    <w:qFormat/>
    <w:rsid w:val="000117C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0117C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0117C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0117C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0117C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0117C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0117C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0117C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0117C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0117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117C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117C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117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117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117C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117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117C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117C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117C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117CC"/>
    <w:rPr>
      <w:sz w:val="24"/>
      <w:szCs w:val="24"/>
    </w:rPr>
  </w:style>
  <w:style w:type="character" w:customStyle="1" w:styleId="QuoteChar">
    <w:name w:val="Quote Char"/>
    <w:uiPriority w:val="29"/>
    <w:rsid w:val="000117CC"/>
    <w:rPr>
      <w:i/>
    </w:rPr>
  </w:style>
  <w:style w:type="character" w:customStyle="1" w:styleId="IntenseQuoteChar">
    <w:name w:val="Intense Quote Char"/>
    <w:uiPriority w:val="30"/>
    <w:rsid w:val="000117CC"/>
    <w:rPr>
      <w:i/>
    </w:rPr>
  </w:style>
  <w:style w:type="character" w:customStyle="1" w:styleId="FootnoteTextChar">
    <w:name w:val="Footnote Text Char"/>
    <w:uiPriority w:val="99"/>
    <w:rsid w:val="000117CC"/>
    <w:rPr>
      <w:sz w:val="18"/>
    </w:rPr>
  </w:style>
  <w:style w:type="character" w:customStyle="1" w:styleId="EndnoteTextChar">
    <w:name w:val="Endnote Text Char"/>
    <w:uiPriority w:val="99"/>
    <w:rsid w:val="000117CC"/>
    <w:rPr>
      <w:sz w:val="20"/>
    </w:rPr>
  </w:style>
  <w:style w:type="character" w:customStyle="1" w:styleId="1">
    <w:name w:val="Заголовок 1 Знак"/>
    <w:basedOn w:val="a0"/>
    <w:link w:val="11"/>
    <w:uiPriority w:val="9"/>
    <w:rsid w:val="000117CC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0117CC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0117C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0117C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0117C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0117C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0117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0117C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0117CC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0117C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17C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117C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7CC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117CC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0117C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117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117CC"/>
    <w:rPr>
      <w:i/>
    </w:rPr>
  </w:style>
  <w:style w:type="character" w:customStyle="1" w:styleId="HeaderChar">
    <w:name w:val="Header Char"/>
    <w:basedOn w:val="a0"/>
    <w:uiPriority w:val="99"/>
    <w:rsid w:val="000117CC"/>
  </w:style>
  <w:style w:type="character" w:customStyle="1" w:styleId="FooterChar">
    <w:name w:val="Footer Char"/>
    <w:basedOn w:val="a0"/>
    <w:uiPriority w:val="99"/>
    <w:rsid w:val="000117CC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0117C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117CC"/>
  </w:style>
  <w:style w:type="table" w:customStyle="1" w:styleId="TableGridLight">
    <w:name w:val="Table Grid Light"/>
    <w:basedOn w:val="a1"/>
    <w:uiPriority w:val="59"/>
    <w:rsid w:val="000117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117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11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17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0117CC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117CC"/>
    <w:rPr>
      <w:sz w:val="18"/>
    </w:rPr>
  </w:style>
  <w:style w:type="character" w:styleId="ac">
    <w:name w:val="footnote reference"/>
    <w:basedOn w:val="a0"/>
    <w:uiPriority w:val="99"/>
    <w:unhideWhenUsed/>
    <w:rsid w:val="000117C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117CC"/>
  </w:style>
  <w:style w:type="character" w:customStyle="1" w:styleId="ae">
    <w:name w:val="Текст концевой сноски Знак"/>
    <w:link w:val="ad"/>
    <w:uiPriority w:val="99"/>
    <w:rsid w:val="000117CC"/>
    <w:rPr>
      <w:sz w:val="20"/>
    </w:rPr>
  </w:style>
  <w:style w:type="character" w:styleId="af">
    <w:name w:val="endnote reference"/>
    <w:basedOn w:val="a0"/>
    <w:uiPriority w:val="99"/>
    <w:semiHidden/>
    <w:unhideWhenUsed/>
    <w:rsid w:val="000117C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117CC"/>
    <w:pPr>
      <w:spacing w:after="57"/>
    </w:pPr>
  </w:style>
  <w:style w:type="paragraph" w:styleId="23">
    <w:name w:val="toc 2"/>
    <w:basedOn w:val="a"/>
    <w:next w:val="a"/>
    <w:uiPriority w:val="39"/>
    <w:unhideWhenUsed/>
    <w:rsid w:val="000117C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117C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0117C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0117C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117C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0117C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0117C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0117CC"/>
    <w:pPr>
      <w:spacing w:after="57"/>
      <w:ind w:left="2268"/>
    </w:pPr>
  </w:style>
  <w:style w:type="paragraph" w:styleId="af0">
    <w:name w:val="TOC Heading"/>
    <w:uiPriority w:val="39"/>
    <w:unhideWhenUsed/>
    <w:rsid w:val="000117CC"/>
  </w:style>
  <w:style w:type="paragraph" w:customStyle="1" w:styleId="13">
    <w:name w:val="Верхний колонтитул1"/>
    <w:basedOn w:val="a"/>
    <w:link w:val="af1"/>
    <w:uiPriority w:val="99"/>
    <w:rsid w:val="000117CC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13"/>
    <w:rsid w:val="000117CC"/>
    <w:rPr>
      <w:rFonts w:ascii="Times New Roman" w:hAnsi="Times New Roman" w:cs="Times New Roman"/>
      <w:sz w:val="20"/>
      <w:szCs w:val="20"/>
    </w:rPr>
  </w:style>
  <w:style w:type="paragraph" w:customStyle="1" w:styleId="14">
    <w:name w:val="Нижний колонтитул1"/>
    <w:basedOn w:val="a"/>
    <w:link w:val="af2"/>
    <w:uiPriority w:val="99"/>
    <w:rsid w:val="000117CC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14"/>
    <w:uiPriority w:val="99"/>
    <w:semiHidden/>
    <w:rsid w:val="000117CC"/>
    <w:rPr>
      <w:rFonts w:ascii="Times New Roman" w:hAnsi="Times New Roman" w:cs="Times New Roman"/>
      <w:sz w:val="20"/>
      <w:szCs w:val="20"/>
    </w:rPr>
  </w:style>
  <w:style w:type="character" w:customStyle="1" w:styleId="itemtext1">
    <w:name w:val="itemtext1"/>
    <w:rsid w:val="000117CC"/>
    <w:rPr>
      <w:rFonts w:ascii="Segoe UI" w:hAnsi="Segoe UI" w:cs="Segoe UI" w:hint="default"/>
      <w:color w:val="000000"/>
      <w:sz w:val="20"/>
      <w:szCs w:val="20"/>
    </w:rPr>
  </w:style>
  <w:style w:type="paragraph" w:customStyle="1" w:styleId="111">
    <w:name w:val="Заголовок 11"/>
    <w:basedOn w:val="a"/>
    <w:next w:val="a"/>
    <w:uiPriority w:val="9"/>
    <w:qFormat/>
    <w:rsid w:val="000117CC"/>
    <w:pPr>
      <w:keepNext/>
      <w:keepLines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15">
    <w:name w:val="Нижний колонтитул1"/>
    <w:basedOn w:val="a"/>
    <w:uiPriority w:val="99"/>
    <w:unhideWhenUsed/>
    <w:rsid w:val="000117CC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4"/>
      <w:szCs w:val="24"/>
    </w:rPr>
  </w:style>
  <w:style w:type="paragraph" w:styleId="af3">
    <w:name w:val="List Paragraph"/>
    <w:basedOn w:val="a"/>
    <w:rsid w:val="000117CC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/>
      <w:ind w:left="720"/>
      <w:contextualSpacing/>
    </w:pPr>
    <w:rPr>
      <w:sz w:val="28"/>
      <w:szCs w:val="24"/>
    </w:rPr>
  </w:style>
  <w:style w:type="paragraph" w:styleId="af4">
    <w:name w:val="No Spacing"/>
    <w:link w:val="af5"/>
    <w:rsid w:val="000117CC"/>
    <w:pPr>
      <w:spacing w:after="0" w:line="240" w:lineRule="auto"/>
    </w:pPr>
    <w:rPr>
      <w:rFonts w:ascii="Times New Roman" w:hAnsi="Times New Roman" w:cs="Times New Roman"/>
      <w:sz w:val="28"/>
      <w:lang w:eastAsia="en-US"/>
    </w:rPr>
  </w:style>
  <w:style w:type="table" w:styleId="af6">
    <w:name w:val="Table Grid"/>
    <w:basedOn w:val="a1"/>
    <w:rsid w:val="000117C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0117CC"/>
    <w:rPr>
      <w:color w:val="0000FF"/>
      <w:u w:val="single"/>
    </w:rPr>
  </w:style>
  <w:style w:type="paragraph" w:styleId="af8">
    <w:name w:val="Body Text Indent"/>
    <w:basedOn w:val="a"/>
    <w:link w:val="af9"/>
    <w:rsid w:val="000117CC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318"/>
      </w:tabs>
      <w:ind w:left="318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0117CC"/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Верхний колонтитул2"/>
    <w:basedOn w:val="a"/>
    <w:rsid w:val="000117CC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5">
    <w:name w:val="Без интервала Знак"/>
    <w:link w:val="af4"/>
    <w:rsid w:val="000117CC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link w:val="ConsPlusNormal0"/>
    <w:rsid w:val="000117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0117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117CC"/>
    <w:pPr>
      <w:widowControl w:val="0"/>
      <w:spacing w:after="0" w:line="240" w:lineRule="auto"/>
    </w:pPr>
    <w:rPr>
      <w:rFonts w:ascii="Courier New" w:eastAsia="Times New Roman" w:hAnsi="Courier New" w:cs="Times New Roman"/>
    </w:rPr>
  </w:style>
  <w:style w:type="paragraph" w:customStyle="1" w:styleId="ConsPlusTitle">
    <w:name w:val="ConsPlusTitle"/>
    <w:rsid w:val="000117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t-a7-000015">
    <w:name w:val="pt-a7-000015"/>
    <w:basedOn w:val="a"/>
    <w:rsid w:val="000117CC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117C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117CC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00121E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d">
    <w:name w:val="Strong"/>
    <w:basedOn w:val="a0"/>
    <w:uiPriority w:val="22"/>
    <w:qFormat/>
    <w:rsid w:val="00001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71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59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631">
              <w:marLeft w:val="150"/>
              <w:marRight w:val="15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7772A18AFF36D3F0E2C1029A0FEC3692E95005BEA7A1B1078D8CC3E57018CCB4D4BC4288F1E97A139627885B778332BA2C1EF1C32E9E8U8QFE" TargetMode="External"/><Relationship Id="rId13" Type="http://schemas.openxmlformats.org/officeDocument/2006/relationships/hyperlink" Target="consultantplus://offline/ref=74DB5F1AD8495C6051F66F51BAC0EB9D2C9FE64DF958DD6451C820962F30FF3BA748A51EA78EE067FF40FBFB1B0D2B2CF863C08E52B8FFABF56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DB5F1AD8495C6051F66F51BAC0EB9D2C9EE14DF850DD6451C820962F30FF3BA748A51EA788EE67FC40FBFB1B0D2B2CF863C08E52B8FFABF567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DB5F1AD8495C6051F66F51BAC0EB9D2C9FE64DF958DD6451C820962F30FF3BA748A51EA78FE666FB40FBFB1B0D2B2CF863C08E52B8FFABF56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cx42.ru/obyavlenie-ot-21012022_" TargetMode="External"/><Relationship Id="rId10" Type="http://schemas.openxmlformats.org/officeDocument/2006/relationships/hyperlink" Target="consultantplus://offline/ref=74DB5F1AD8495C6051F66F51BAC0EB9D2C9FE843F858DD6451C820962F30FF3BA748A51EA78EE068F440FBFB1B0D2B2CF863C08E52B8FFABF56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x42.ru/obyavlenie-ot-21012022_" TargetMode="External"/><Relationship Id="rId14" Type="http://schemas.openxmlformats.org/officeDocument/2006/relationships/hyperlink" Target="consultantplus://offline/ref=74DB5F1AD8495C6051F66F51BAC0EB9D2D9DE847FA5A806E59912C94283FA02CA001A91FA688E26BF61FFEEE0A552729E27CC3924EBAFDFA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2623</Words>
  <Characters>14952</Characters>
  <Application>Microsoft Office Word</Application>
  <DocSecurity>0</DocSecurity>
  <Lines>124</Lines>
  <Paragraphs>35</Paragraphs>
  <ScaleCrop>false</ScaleCrop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Горнистова Вероника Юрьевна</dc:creator>
  <cp:lastModifiedBy>1</cp:lastModifiedBy>
  <cp:revision>2</cp:revision>
  <cp:lastPrinted>2022-02-14T07:34:00Z</cp:lastPrinted>
  <dcterms:created xsi:type="dcterms:W3CDTF">2022-03-23T03:57:00Z</dcterms:created>
  <dcterms:modified xsi:type="dcterms:W3CDTF">2022-03-23T03:57:00Z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